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4E3" w:rsidRDefault="006074E3" w:rsidP="00114F0F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inline distT="0" distB="0" distL="0" distR="0">
            <wp:extent cx="1742400" cy="123191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tai_logo_-1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00" cy="123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DE9">
        <w:rPr>
          <w:b/>
        </w:rPr>
        <w:t xml:space="preserve"> </w:t>
      </w:r>
      <w:r w:rsidR="00C66490">
        <w:rPr>
          <w:b/>
          <w:noProof/>
          <w:lang w:val="en-US"/>
        </w:rPr>
        <w:drawing>
          <wp:inline distT="0" distB="0" distL="0" distR="0">
            <wp:extent cx="1574791" cy="123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xagon_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82" r="41286"/>
                    <a:stretch/>
                  </pic:blipFill>
                  <pic:spPr bwMode="auto">
                    <a:xfrm>
                      <a:off x="0" y="0"/>
                      <a:ext cx="1574791" cy="123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4E3" w:rsidRPr="00E7337F" w:rsidRDefault="006074E3" w:rsidP="00114F0F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114F0F" w:rsidRPr="00E7337F" w:rsidRDefault="00114F0F" w:rsidP="00114F0F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E7337F">
        <w:rPr>
          <w:b/>
        </w:rPr>
        <w:t>ASOCIACIJA VILKAVIŠKIO STALO ŽAIDIMŲ KLUBAS „VISAŽINIUKAS“</w:t>
      </w:r>
      <w:r w:rsidR="00D23DE9">
        <w:rPr>
          <w:b/>
        </w:rPr>
        <w:t xml:space="preserve"> IR </w:t>
      </w:r>
      <w:r w:rsidR="001D242B" w:rsidRPr="001D242B">
        <w:rPr>
          <w:b/>
        </w:rPr>
        <w:t>KAUNO STALO ŽAIDIMŲ KLUBAS „</w:t>
      </w:r>
      <w:hyperlink r:id="rId10" w:history="1">
        <w:r w:rsidR="001D242B" w:rsidRPr="00C66490">
          <w:rPr>
            <w:rStyle w:val="Hyperlink"/>
            <w:b/>
          </w:rPr>
          <w:t>HEXAGON</w:t>
        </w:r>
      </w:hyperlink>
      <w:r w:rsidR="001D242B" w:rsidRPr="001D242B">
        <w:rPr>
          <w:b/>
        </w:rPr>
        <w:t>“</w:t>
      </w:r>
      <w:r w:rsidR="00C66490">
        <w:rPr>
          <w:rStyle w:val="FootnoteReference"/>
          <w:b/>
        </w:rPr>
        <w:footnoteReference w:id="1"/>
      </w:r>
    </w:p>
    <w:p w:rsidR="00114F0F" w:rsidRPr="00E7337F" w:rsidRDefault="00114F0F" w:rsidP="00A110C7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114F0F" w:rsidRPr="00E7337F" w:rsidRDefault="00A85548" w:rsidP="006074E3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RENGINIO</w:t>
      </w:r>
      <w:r w:rsidR="006074E3">
        <w:rPr>
          <w:b/>
        </w:rPr>
        <w:t xml:space="preserve"> APRAŠYMAS</w:t>
      </w:r>
    </w:p>
    <w:p w:rsidR="00A85548" w:rsidRDefault="00A85548" w:rsidP="00A110C7">
      <w:pPr>
        <w:tabs>
          <w:tab w:val="left" w:pos="993"/>
        </w:tabs>
        <w:overflowPunct w:val="0"/>
        <w:autoSpaceDE w:val="0"/>
        <w:autoSpaceDN w:val="0"/>
        <w:adjustRightInd w:val="0"/>
        <w:jc w:val="both"/>
      </w:pPr>
    </w:p>
    <w:p w:rsidR="00D23DE9" w:rsidRDefault="00D23DE9" w:rsidP="00A110C7">
      <w:pPr>
        <w:tabs>
          <w:tab w:val="left" w:pos="993"/>
        </w:tabs>
        <w:overflowPunct w:val="0"/>
        <w:autoSpaceDE w:val="0"/>
        <w:autoSpaceDN w:val="0"/>
        <w:adjustRightInd w:val="0"/>
        <w:jc w:val="both"/>
      </w:pPr>
      <w:r w:rsidRPr="00D23DE9">
        <w:t>Turnyras „Ruduo 201</w:t>
      </w:r>
      <w:r w:rsidR="001D242B">
        <w:t>9</w:t>
      </w:r>
      <w:r w:rsidRPr="00D23DE9">
        <w:t xml:space="preserve">!“ </w:t>
      </w:r>
      <w:r>
        <w:t>–</w:t>
      </w:r>
      <w:r w:rsidRPr="00D23DE9">
        <w:t xml:space="preserve"> bendras</w:t>
      </w:r>
      <w:r>
        <w:t xml:space="preserve"> </w:t>
      </w:r>
      <w:r w:rsidRPr="00D23DE9">
        <w:t>„</w:t>
      </w:r>
      <w:proofErr w:type="spellStart"/>
      <w:r w:rsidRPr="00D23DE9">
        <w:t>Visažiniuko</w:t>
      </w:r>
      <w:proofErr w:type="spellEnd"/>
      <w:r w:rsidRPr="00D23DE9">
        <w:t>“ (</w:t>
      </w:r>
      <w:r w:rsidRPr="00D23DE9">
        <w:rPr>
          <w:i/>
        </w:rPr>
        <w:t>Vilkaviškis</w:t>
      </w:r>
      <w:r w:rsidRPr="00D23DE9">
        <w:t>) ir „</w:t>
      </w:r>
      <w:proofErr w:type="spellStart"/>
      <w:r w:rsidR="00C66490">
        <w:t>Hexagon</w:t>
      </w:r>
      <w:proofErr w:type="spellEnd"/>
      <w:r w:rsidRPr="00D23DE9">
        <w:t>“ (</w:t>
      </w:r>
      <w:r w:rsidR="00C66490">
        <w:rPr>
          <w:i/>
        </w:rPr>
        <w:t>Kaunas</w:t>
      </w:r>
      <w:r w:rsidRPr="00D23DE9">
        <w:t xml:space="preserve">) renginys. Dėl dalyvavimo atrankiniame etape </w:t>
      </w:r>
      <w:r w:rsidR="00C66490">
        <w:t>Kaune</w:t>
      </w:r>
      <w:r w:rsidRPr="00D23DE9">
        <w:t xml:space="preserve"> kreipkitės į „</w:t>
      </w:r>
      <w:proofErr w:type="spellStart"/>
      <w:r w:rsidR="00C66490">
        <w:t>Hexagon</w:t>
      </w:r>
      <w:proofErr w:type="spellEnd"/>
      <w:r w:rsidRPr="00D23DE9">
        <w:t>“.</w:t>
      </w:r>
    </w:p>
    <w:p w:rsidR="00D23DE9" w:rsidRDefault="00D23DE9" w:rsidP="00A110C7">
      <w:pPr>
        <w:tabs>
          <w:tab w:val="left" w:pos="993"/>
        </w:tabs>
        <w:overflowPunct w:val="0"/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4346"/>
        <w:gridCol w:w="16"/>
        <w:gridCol w:w="4330"/>
      </w:tblGrid>
      <w:tr w:rsidR="0005209F" w:rsidTr="0005209F">
        <w:tc>
          <w:tcPr>
            <w:tcW w:w="1163" w:type="dxa"/>
          </w:tcPr>
          <w:p w:rsidR="0005209F" w:rsidRDefault="0005209F" w:rsidP="0005209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Renginys</w:t>
            </w:r>
          </w:p>
        </w:tc>
        <w:tc>
          <w:tcPr>
            <w:tcW w:w="4346" w:type="dxa"/>
            <w:tcBorders>
              <w:bottom w:val="dashed" w:sz="4" w:space="0" w:color="auto"/>
              <w:right w:val="dashed" w:sz="4" w:space="0" w:color="auto"/>
            </w:tcBorders>
          </w:tcPr>
          <w:p w:rsidR="0005209F" w:rsidRDefault="00C66490" w:rsidP="00F3031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„Ruduo 2019</w:t>
            </w:r>
            <w:r w:rsidR="0005209F">
              <w:rPr>
                <w:lang w:val="en-US"/>
              </w:rPr>
              <w:t>!</w:t>
            </w:r>
            <w:r w:rsidR="0005209F">
              <w:t xml:space="preserve">“ </w:t>
            </w:r>
            <w:r w:rsidR="00F52641">
              <w:t>atrankinis etapas</w:t>
            </w:r>
          </w:p>
        </w:tc>
        <w:tc>
          <w:tcPr>
            <w:tcW w:w="4346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05209F" w:rsidRDefault="00C66490" w:rsidP="0005209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„Ruduo 2019</w:t>
            </w:r>
            <w:r w:rsidR="0005209F">
              <w:rPr>
                <w:lang w:val="en-US"/>
              </w:rPr>
              <w:t>!</w:t>
            </w:r>
            <w:r w:rsidR="0005209F">
              <w:t>“ finalas</w:t>
            </w:r>
          </w:p>
        </w:tc>
      </w:tr>
      <w:tr w:rsidR="0005209F" w:rsidTr="0005209F">
        <w:tc>
          <w:tcPr>
            <w:tcW w:w="1163" w:type="dxa"/>
          </w:tcPr>
          <w:p w:rsidR="0005209F" w:rsidRDefault="0005209F" w:rsidP="0005209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Data</w:t>
            </w:r>
          </w:p>
        </w:tc>
        <w:tc>
          <w:tcPr>
            <w:tcW w:w="4362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5209F" w:rsidRDefault="0005209F" w:rsidP="00C6649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E7337F">
              <w:t>201</w:t>
            </w:r>
            <w:r w:rsidR="00C66490">
              <w:t>9</w:t>
            </w:r>
            <w:r w:rsidRPr="00E7337F">
              <w:t xml:space="preserve"> m. </w:t>
            </w:r>
            <w:r w:rsidR="00C66490">
              <w:t>rugsėjo</w:t>
            </w:r>
            <w:r w:rsidR="00723E64">
              <w:t xml:space="preserve"> </w:t>
            </w:r>
            <w:r w:rsidR="00C66490">
              <w:t>15</w:t>
            </w:r>
            <w:r w:rsidRPr="00E7337F">
              <w:t> d.</w:t>
            </w:r>
            <w:r>
              <w:t xml:space="preserve"> (</w:t>
            </w:r>
            <w:r w:rsidR="00C66490">
              <w:rPr>
                <w:i/>
              </w:rPr>
              <w:t>sekmadienis</w:t>
            </w:r>
            <w:r>
              <w:t>)</w:t>
            </w:r>
          </w:p>
        </w:tc>
        <w:tc>
          <w:tcPr>
            <w:tcW w:w="4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5209F" w:rsidRDefault="0005209F" w:rsidP="00C6649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E7337F">
              <w:t>201</w:t>
            </w:r>
            <w:r w:rsidR="00C66490">
              <w:t>9</w:t>
            </w:r>
            <w:r w:rsidRPr="00E7337F">
              <w:t xml:space="preserve"> m. </w:t>
            </w:r>
            <w:r>
              <w:t>spalio 13</w:t>
            </w:r>
            <w:r w:rsidRPr="00E7337F">
              <w:t> d.</w:t>
            </w:r>
            <w:r>
              <w:t xml:space="preserve"> (</w:t>
            </w:r>
            <w:r w:rsidR="00C66490">
              <w:rPr>
                <w:i/>
              </w:rPr>
              <w:t>sekmadienis</w:t>
            </w:r>
            <w:r>
              <w:t>)</w:t>
            </w:r>
          </w:p>
        </w:tc>
      </w:tr>
      <w:tr w:rsidR="00294FCC" w:rsidTr="00A979A5">
        <w:tc>
          <w:tcPr>
            <w:tcW w:w="1163" w:type="dxa"/>
          </w:tcPr>
          <w:p w:rsidR="00294FCC" w:rsidRDefault="00294FCC" w:rsidP="0005209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337F">
              <w:rPr>
                <w:b/>
              </w:rPr>
              <w:t>Vieta</w:t>
            </w:r>
          </w:p>
        </w:tc>
        <w:tc>
          <w:tcPr>
            <w:tcW w:w="8692" w:type="dxa"/>
            <w:gridSpan w:val="3"/>
            <w:tcBorders>
              <w:top w:val="dashed" w:sz="4" w:space="0" w:color="auto"/>
            </w:tcBorders>
          </w:tcPr>
          <w:p w:rsidR="00294FCC" w:rsidRDefault="00294FCC" w:rsidP="00294FC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294FCC">
              <w:t xml:space="preserve">Vilkaviškio </w:t>
            </w:r>
            <w:r w:rsidRPr="00E7337F">
              <w:t>kultūros centras (</w:t>
            </w:r>
            <w:r w:rsidRPr="00E7337F">
              <w:rPr>
                <w:i/>
              </w:rPr>
              <w:t>Vytauto g. 28, Vilkaviškis</w:t>
            </w:r>
            <w:r w:rsidRPr="00E7337F">
              <w:rPr>
                <w:rStyle w:val="CommentReference"/>
                <w:sz w:val="24"/>
                <w:szCs w:val="24"/>
              </w:rPr>
              <w:t>)</w:t>
            </w:r>
          </w:p>
        </w:tc>
      </w:tr>
    </w:tbl>
    <w:p w:rsidR="00294FCC" w:rsidRDefault="00294FCC" w:rsidP="00A110C7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284CC5" w:rsidRPr="00E7337F" w:rsidRDefault="00A85548" w:rsidP="00A110C7">
      <w:pPr>
        <w:tabs>
          <w:tab w:val="left" w:pos="993"/>
        </w:tabs>
        <w:overflowPunct w:val="0"/>
        <w:autoSpaceDE w:val="0"/>
        <w:autoSpaceDN w:val="0"/>
        <w:adjustRightInd w:val="0"/>
        <w:jc w:val="both"/>
      </w:pPr>
      <w:proofErr w:type="spellStart"/>
      <w:r>
        <w:rPr>
          <w:b/>
        </w:rPr>
        <w:t>Elo</w:t>
      </w:r>
      <w:proofErr w:type="spellEnd"/>
      <w:r>
        <w:rPr>
          <w:b/>
        </w:rPr>
        <w:t xml:space="preserve"> reitingas</w:t>
      </w:r>
      <w:r w:rsidR="00284CC5" w:rsidRPr="00E7337F">
        <w:t xml:space="preserve"> </w:t>
      </w:r>
      <w:r w:rsidR="004F7991" w:rsidRPr="00E7337F">
        <w:t>bus skaičiuojam</w:t>
      </w:r>
      <w:r w:rsidR="00AE0A73">
        <w:t>as</w:t>
      </w:r>
      <w:r w:rsidR="004F7991" w:rsidRPr="00E7337F">
        <w:t xml:space="preserve"> (</w:t>
      </w:r>
      <w:r w:rsidR="00916546" w:rsidRPr="00916546">
        <w:rPr>
          <w:i/>
        </w:rPr>
        <w:t>„</w:t>
      </w:r>
      <w:proofErr w:type="spellStart"/>
      <w:r w:rsidR="00916546" w:rsidRPr="00916546">
        <w:rPr>
          <w:i/>
        </w:rPr>
        <w:t>Visažiniuko</w:t>
      </w:r>
      <w:proofErr w:type="spellEnd"/>
      <w:r w:rsidR="00916546" w:rsidRPr="00916546">
        <w:rPr>
          <w:i/>
        </w:rPr>
        <w:t>“</w:t>
      </w:r>
      <w:r w:rsidR="00916546">
        <w:t xml:space="preserve"> </w:t>
      </w:r>
      <w:r w:rsidR="004F7991" w:rsidRPr="00E7337F">
        <w:rPr>
          <w:i/>
        </w:rPr>
        <w:t>nariams</w:t>
      </w:r>
      <w:r w:rsidR="004F7991" w:rsidRPr="00E7337F">
        <w:t>)</w:t>
      </w:r>
      <w:r w:rsidR="00284CC5" w:rsidRPr="00E7337F">
        <w:t>.</w:t>
      </w:r>
    </w:p>
    <w:p w:rsidR="006668A5" w:rsidRDefault="006668A5" w:rsidP="006668A5">
      <w:pPr>
        <w:tabs>
          <w:tab w:val="left" w:pos="993"/>
        </w:tabs>
        <w:overflowPunct w:val="0"/>
        <w:autoSpaceDE w:val="0"/>
        <w:autoSpaceDN w:val="0"/>
        <w:adjustRightInd w:val="0"/>
        <w:jc w:val="both"/>
      </w:pPr>
      <w:r w:rsidRPr="0053018B">
        <w:rPr>
          <w:b/>
        </w:rPr>
        <w:t>Stalo žaidima</w:t>
      </w:r>
      <w:r w:rsidR="00BD634E">
        <w:rPr>
          <w:b/>
        </w:rPr>
        <w:t>s</w:t>
      </w:r>
      <w:r w:rsidRPr="0053018B">
        <w:t xml:space="preserve"> </w:t>
      </w:r>
      <w:hyperlink r:id="rId11" w:history="1">
        <w:proofErr w:type="spellStart"/>
        <w:r w:rsidR="00C66490" w:rsidRPr="00AA7781">
          <w:rPr>
            <w:rStyle w:val="Hyperlink"/>
          </w:rPr>
          <w:t>Doppelt</w:t>
        </w:r>
        <w:proofErr w:type="spellEnd"/>
        <w:r w:rsidR="00C66490" w:rsidRPr="00AA7781">
          <w:rPr>
            <w:rStyle w:val="Hyperlink"/>
          </w:rPr>
          <w:t xml:space="preserve"> </w:t>
        </w:r>
        <w:proofErr w:type="spellStart"/>
        <w:r w:rsidR="00C66490" w:rsidRPr="00AA7781">
          <w:rPr>
            <w:rStyle w:val="Hyperlink"/>
          </w:rPr>
          <w:t>so</w:t>
        </w:r>
        <w:proofErr w:type="spellEnd"/>
        <w:r w:rsidR="00C66490" w:rsidRPr="00AA7781">
          <w:rPr>
            <w:rStyle w:val="Hyperlink"/>
          </w:rPr>
          <w:t xml:space="preserve"> </w:t>
        </w:r>
        <w:proofErr w:type="spellStart"/>
        <w:r w:rsidR="00C66490" w:rsidRPr="00AA7781">
          <w:rPr>
            <w:rStyle w:val="Hyperlink"/>
          </w:rPr>
          <w:t>clever</w:t>
        </w:r>
        <w:proofErr w:type="spellEnd"/>
      </w:hyperlink>
      <w:r w:rsidR="00AA7781">
        <w:rPr>
          <w:rStyle w:val="FootnoteReference"/>
        </w:rPr>
        <w:footnoteReference w:id="2"/>
      </w:r>
      <w:r w:rsidR="006D62DE" w:rsidRPr="00FF6DF2">
        <w:t>.</w:t>
      </w:r>
    </w:p>
    <w:p w:rsidR="006D62DE" w:rsidRPr="0053018B" w:rsidRDefault="006D62DE" w:rsidP="006668A5">
      <w:pPr>
        <w:tabs>
          <w:tab w:val="left" w:pos="993"/>
        </w:tabs>
        <w:overflowPunct w:val="0"/>
        <w:autoSpaceDE w:val="0"/>
        <w:autoSpaceDN w:val="0"/>
        <w:adjustRightInd w:val="0"/>
        <w:jc w:val="both"/>
      </w:pPr>
      <w:r w:rsidRPr="0078234D">
        <w:rPr>
          <w:b/>
        </w:rPr>
        <w:t xml:space="preserve">Registracija </w:t>
      </w:r>
      <w:r w:rsidRPr="0078234D">
        <w:t xml:space="preserve">iki </w:t>
      </w:r>
      <w:r>
        <w:t>201</w:t>
      </w:r>
      <w:r w:rsidR="00AA7781">
        <w:t>9</w:t>
      </w:r>
      <w:r>
        <w:t xml:space="preserve"> m. </w:t>
      </w:r>
      <w:r w:rsidR="0005209F">
        <w:t>rugsėjo</w:t>
      </w:r>
      <w:r>
        <w:t xml:space="preserve"> </w:t>
      </w:r>
      <w:r w:rsidR="00AA7781">
        <w:t>8</w:t>
      </w:r>
      <w:r w:rsidRPr="0078234D">
        <w:t> d. 1</w:t>
      </w:r>
      <w:r>
        <w:t>2</w:t>
      </w:r>
      <w:r w:rsidR="00047CF4">
        <w:t>.</w:t>
      </w:r>
      <w:r w:rsidRPr="0078234D">
        <w:t>00 užpildžius registracijos formą</w:t>
      </w:r>
      <w:r>
        <w:t>.</w:t>
      </w:r>
      <w:r w:rsidRPr="0078234D">
        <w:t xml:space="preserve"> Vietų skaičius ribotas.</w:t>
      </w:r>
    </w:p>
    <w:p w:rsidR="006668A5" w:rsidRPr="0053018B" w:rsidRDefault="006668A5" w:rsidP="006D62DE">
      <w:pPr>
        <w:tabs>
          <w:tab w:val="left" w:pos="993"/>
        </w:tabs>
        <w:overflowPunct w:val="0"/>
        <w:autoSpaceDE w:val="0"/>
        <w:autoSpaceDN w:val="0"/>
        <w:adjustRightInd w:val="0"/>
        <w:jc w:val="both"/>
      </w:pPr>
      <w:r w:rsidRPr="0053018B">
        <w:rPr>
          <w:b/>
        </w:rPr>
        <w:t>Pasiruošimas</w:t>
      </w:r>
      <w:r w:rsidR="006D62DE">
        <w:rPr>
          <w:b/>
        </w:rPr>
        <w:t xml:space="preserve"> </w:t>
      </w:r>
      <w:r w:rsidR="0009540C" w:rsidRPr="0009540C">
        <w:t>pa</w:t>
      </w:r>
      <w:r w:rsidR="0009540C">
        <w:rPr>
          <w:rStyle w:val="Hyperlink"/>
          <w:color w:val="auto"/>
          <w:u w:val="none"/>
        </w:rPr>
        <w:t>spaudus nuorodą žemiau</w:t>
      </w:r>
      <w:r w:rsidRPr="0053018B">
        <w:rPr>
          <w:rStyle w:val="Hyperlink"/>
          <w:color w:val="auto"/>
          <w:u w:val="none"/>
        </w:rPr>
        <w:t>.</w:t>
      </w:r>
    </w:p>
    <w:p w:rsidR="006668A5" w:rsidRPr="00E7337F" w:rsidRDefault="006668A5" w:rsidP="006D62DE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</w:pPr>
      <w:r w:rsidRPr="006D62DE">
        <w:rPr>
          <w:b/>
        </w:rPr>
        <w:t>Dalyvio mokes</w:t>
      </w:r>
      <w:r w:rsidR="00BD634E">
        <w:rPr>
          <w:b/>
        </w:rPr>
        <w:t>čio</w:t>
      </w:r>
      <w:r w:rsidRPr="00E7337F">
        <w:t xml:space="preserve"> </w:t>
      </w:r>
      <w:r w:rsidR="00BD634E">
        <w:t>n</w:t>
      </w:r>
      <w:r w:rsidR="00B5525B">
        <w:t>ėra</w:t>
      </w:r>
      <w:r w:rsidRPr="00E7337F">
        <w:t>.</w:t>
      </w:r>
    </w:p>
    <w:p w:rsidR="006668A5" w:rsidRDefault="006668A5" w:rsidP="006074E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5"/>
      </w:tblGrid>
      <w:tr w:rsidR="0009540C" w:rsidTr="005D53D2">
        <w:trPr>
          <w:jc w:val="center"/>
        </w:trPr>
        <w:tc>
          <w:tcPr>
            <w:tcW w:w="2660" w:type="dxa"/>
            <w:vAlign w:val="center"/>
          </w:tcPr>
          <w:p w:rsidR="00FF6DF2" w:rsidRPr="0009540C" w:rsidRDefault="0009540C" w:rsidP="00AA778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40C">
              <w:rPr>
                <w:b/>
              </w:rPr>
              <w:t>Pasiruošimas turnyrui</w:t>
            </w:r>
            <w:r w:rsidR="00AA7781"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7195" w:type="dxa"/>
            <w:vAlign w:val="center"/>
          </w:tcPr>
          <w:p w:rsidR="00FF6DF2" w:rsidRPr="0009540C" w:rsidRDefault="0009540C" w:rsidP="00BD634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40C">
              <w:rPr>
                <w:b/>
              </w:rPr>
              <w:t>Registracijos forma</w:t>
            </w:r>
            <w:r w:rsidR="005D53D2">
              <w:rPr>
                <w:rStyle w:val="FootnoteReference"/>
                <w:b/>
              </w:rPr>
              <w:footnoteReference w:id="4"/>
            </w:r>
          </w:p>
        </w:tc>
      </w:tr>
      <w:tr w:rsidR="0009540C" w:rsidTr="005D53D2">
        <w:trPr>
          <w:jc w:val="center"/>
        </w:trPr>
        <w:tc>
          <w:tcPr>
            <w:tcW w:w="2660" w:type="dxa"/>
            <w:vAlign w:val="center"/>
          </w:tcPr>
          <w:p w:rsidR="00BD634E" w:rsidRDefault="00BD634E" w:rsidP="00BD634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  <w:szCs w:val="20"/>
                <w:lang w:val="en-US"/>
              </w:rPr>
              <w:drawing>
                <wp:inline distT="0" distB="0" distL="0" distR="0" wp14:anchorId="65BED777" wp14:editId="655CCA4B">
                  <wp:extent cx="1386545" cy="1476000"/>
                  <wp:effectExtent l="0" t="0" r="4445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3941961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31" t="1618" r="40645" b="84127"/>
                          <a:stretch/>
                        </pic:blipFill>
                        <pic:spPr bwMode="auto">
                          <a:xfrm>
                            <a:off x="0" y="0"/>
                            <a:ext cx="1386545" cy="14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center"/>
          </w:tcPr>
          <w:p w:rsidR="00FF6DF2" w:rsidRDefault="0009540C" w:rsidP="00BD634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3AA9A478" wp14:editId="191755A8">
                  <wp:extent cx="4428000" cy="1476000"/>
                  <wp:effectExtent l="0" t="0" r="0" b="0"/>
                  <wp:docPr id="3" name="Picture 3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2bforms-1068x35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DF2" w:rsidRDefault="00FF6DF2" w:rsidP="006074E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660FB1" w:rsidRPr="005E788E" w:rsidRDefault="00E819E1" w:rsidP="00A110C7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5E788E">
        <w:rPr>
          <w:b/>
        </w:rPr>
        <w:t>PROGRAMA</w:t>
      </w:r>
    </w:p>
    <w:p w:rsidR="00A110C7" w:rsidRDefault="00A110C7" w:rsidP="00A110C7">
      <w:pPr>
        <w:tabs>
          <w:tab w:val="left" w:pos="993"/>
        </w:tabs>
        <w:overflowPunct w:val="0"/>
        <w:autoSpaceDE w:val="0"/>
        <w:autoSpaceDN w:val="0"/>
        <w:adjustRightInd w:val="0"/>
        <w:jc w:val="both"/>
      </w:pPr>
    </w:p>
    <w:p w:rsidR="0005209F" w:rsidRPr="0005209F" w:rsidRDefault="0005209F" w:rsidP="0005209F">
      <w:pPr>
        <w:shd w:val="clear" w:color="auto" w:fill="BFBFBF" w:themeFill="background1" w:themeFillShade="BF"/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05209F">
        <w:rPr>
          <w:b/>
        </w:rPr>
        <w:t>201</w:t>
      </w:r>
      <w:r w:rsidR="00AA7781">
        <w:rPr>
          <w:b/>
        </w:rPr>
        <w:t>9</w:t>
      </w:r>
      <w:r w:rsidRPr="0005209F">
        <w:rPr>
          <w:b/>
        </w:rPr>
        <w:t xml:space="preserve"> m. </w:t>
      </w:r>
      <w:r w:rsidR="00AA7781">
        <w:rPr>
          <w:b/>
        </w:rPr>
        <w:t>rugsėjo</w:t>
      </w:r>
      <w:r w:rsidR="0082727B">
        <w:rPr>
          <w:b/>
        </w:rPr>
        <w:t xml:space="preserve"> </w:t>
      </w:r>
      <w:r w:rsidR="00AA7781">
        <w:rPr>
          <w:b/>
        </w:rPr>
        <w:t>15</w:t>
      </w:r>
      <w:r w:rsidRPr="0005209F">
        <w:rPr>
          <w:b/>
        </w:rPr>
        <w:t> d. (</w:t>
      </w:r>
      <w:r w:rsidR="00AA7781">
        <w:rPr>
          <w:b/>
          <w:i/>
        </w:rPr>
        <w:t>sekmadienis</w:t>
      </w:r>
      <w:r w:rsidRPr="0005209F">
        <w:rPr>
          <w:b/>
        </w:rPr>
        <w:t>)</w:t>
      </w:r>
    </w:p>
    <w:p w:rsidR="0005209F" w:rsidRDefault="0005209F" w:rsidP="00A110C7">
      <w:pPr>
        <w:tabs>
          <w:tab w:val="left" w:pos="993"/>
        </w:tabs>
        <w:overflowPunct w:val="0"/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94FCC" w:rsidTr="00294FCC">
        <w:tc>
          <w:tcPr>
            <w:tcW w:w="9855" w:type="dxa"/>
          </w:tcPr>
          <w:p w:rsidR="00294FCC" w:rsidRPr="00A66B35" w:rsidRDefault="00294FCC" w:rsidP="006C012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6B35">
              <w:rPr>
                <w:b/>
              </w:rPr>
              <w:t>10.45 Pasiruošimas (</w:t>
            </w:r>
            <w:r w:rsidRPr="00A66B35">
              <w:rPr>
                <w:b/>
                <w:i/>
              </w:rPr>
              <w:t>15 min.</w:t>
            </w:r>
            <w:r w:rsidRPr="00A66B35">
              <w:rPr>
                <w:b/>
              </w:rPr>
              <w:t>)</w:t>
            </w:r>
          </w:p>
        </w:tc>
      </w:tr>
      <w:tr w:rsidR="00BD634E" w:rsidTr="00294FCC">
        <w:tc>
          <w:tcPr>
            <w:tcW w:w="9855" w:type="dxa"/>
          </w:tcPr>
          <w:p w:rsidR="00BD634E" w:rsidRPr="00A66B35" w:rsidRDefault="00BD634E" w:rsidP="00BD634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66B35">
              <w:t>Stalų, kėdžių išdėliojimas, žaidimų paruošimas ir dalyvių sutikrinimas.</w:t>
            </w:r>
          </w:p>
        </w:tc>
      </w:tr>
      <w:tr w:rsidR="00294FCC" w:rsidTr="00294FCC">
        <w:tc>
          <w:tcPr>
            <w:tcW w:w="9855" w:type="dxa"/>
          </w:tcPr>
          <w:p w:rsidR="00294FCC" w:rsidRDefault="00294FCC" w:rsidP="00294FC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4FCC" w:rsidRPr="00294FCC" w:rsidRDefault="00294FCC" w:rsidP="00294FC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6B35">
              <w:rPr>
                <w:b/>
              </w:rPr>
              <w:t>11.00 5 raundai (</w:t>
            </w:r>
            <w:r>
              <w:rPr>
                <w:b/>
                <w:i/>
              </w:rPr>
              <w:t>3 val. 10 </w:t>
            </w:r>
            <w:r w:rsidRPr="00A66B35">
              <w:rPr>
                <w:b/>
                <w:i/>
              </w:rPr>
              <w:t>min.</w:t>
            </w:r>
            <w:r w:rsidRPr="00A66B35">
              <w:rPr>
                <w:b/>
              </w:rPr>
              <w:t>)</w:t>
            </w:r>
          </w:p>
        </w:tc>
      </w:tr>
      <w:tr w:rsidR="00BD634E" w:rsidTr="00294FCC">
        <w:tc>
          <w:tcPr>
            <w:tcW w:w="9855" w:type="dxa"/>
          </w:tcPr>
          <w:p w:rsidR="00BD634E" w:rsidRDefault="00BD634E" w:rsidP="00BD634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</w:pPr>
            <w:r w:rsidRPr="00A66B35">
              <w:t>Pirmame raunde žaidėjai prie žaidimų po du</w:t>
            </w:r>
            <w:r>
              <w:rPr>
                <w:rStyle w:val="FootnoteReference"/>
              </w:rPr>
              <w:footnoteReference w:id="5"/>
            </w:r>
            <w:r w:rsidRPr="00A66B35">
              <w:t xml:space="preserve"> paskirstomi </w:t>
            </w:r>
            <w:r>
              <w:t xml:space="preserve">atsitiktine tvarka. </w:t>
            </w:r>
            <w:r w:rsidRPr="00A66B35">
              <w:t>Vėlesniems raundams</w:t>
            </w:r>
            <w:r>
              <w:t xml:space="preserve"> organizatoriai</w:t>
            </w:r>
            <w:r w:rsidRPr="00A66B35">
              <w:t xml:space="preserve"> dalyvi</w:t>
            </w:r>
            <w:r>
              <w:t>us</w:t>
            </w:r>
            <w:r w:rsidRPr="00A66B35">
              <w:t xml:space="preserve"> </w:t>
            </w:r>
            <w:r>
              <w:t xml:space="preserve">išrikiuoja pagal reitingus </w:t>
            </w:r>
            <w:r w:rsidRPr="00A66B35">
              <w:t>ir suporuoja iš eilės.</w:t>
            </w:r>
            <w:r w:rsidR="00AA7781">
              <w:t xml:space="preserve"> Bus siekiama, kad </w:t>
            </w:r>
            <w:r w:rsidR="00AA7781">
              <w:lastRenderedPageBreak/>
              <w:t>vėlesniuose raunduose nežaistų jau kartu žaidę žaidėjai.</w:t>
            </w:r>
            <w:r w:rsidRPr="00A66B35">
              <w:t xml:space="preserve"> </w:t>
            </w:r>
            <w:r>
              <w:t>Žaidimo pradžioje kiekvienas žaidėjas ridena po tris kauliukus. Didesnę sumą išridenęs žaidėjas nusprendžia kas pradeda žaidimą.</w:t>
            </w:r>
          </w:p>
          <w:p w:rsidR="00BD634E" w:rsidRDefault="00BD634E" w:rsidP="00BD634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</w:pPr>
          </w:p>
          <w:p w:rsidR="00BD634E" w:rsidRPr="00294FCC" w:rsidRDefault="00BD634E" w:rsidP="00BD634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Nelyginis dalyvių skaičius</w:t>
            </w:r>
            <w:r>
              <w:rPr>
                <w:i/>
                <w:u w:val="single"/>
              </w:rPr>
              <w:t>.</w:t>
            </w:r>
            <w:r w:rsidRPr="00847BE7">
              <w:t xml:space="preserve"> Pirmame raunde </w:t>
            </w:r>
            <w:r>
              <w:t xml:space="preserve">atsitiktinis žaidėjas, kituose raunduose žemiausią reitingą turintis žaidėjas gauna pergalę, </w:t>
            </w:r>
            <w:r w:rsidR="00294FCC">
              <w:t>X</w:t>
            </w:r>
            <w:r>
              <w:t xml:space="preserve"> tašk</w:t>
            </w:r>
            <w:r w:rsidR="00294FCC">
              <w:t>ų</w:t>
            </w:r>
            <w:r>
              <w:t xml:space="preserve"> ir </w:t>
            </w:r>
            <w:r w:rsidR="00294FCC">
              <w:t>Y</w:t>
            </w:r>
            <w:r>
              <w:t> </w:t>
            </w:r>
            <w:r>
              <w:rPr>
                <w:lang w:val="en-US"/>
              </w:rPr>
              <w:t>%.</w:t>
            </w:r>
            <w:r w:rsidR="00294FCC">
              <w:rPr>
                <w:lang w:val="en-US"/>
              </w:rPr>
              <w:t xml:space="preserve"> X – </w:t>
            </w:r>
            <w:r w:rsidR="00294FCC">
              <w:t>pirmame raunde laimėjusių žaidėjų taškų vidurkis, Y – X padalintas iš pirmame raunde laimėjusių ir pralaimėjusių žaidėjų taškų vidurkių sumos ir padaugintas iš 100.</w:t>
            </w:r>
          </w:p>
          <w:p w:rsidR="00BD634E" w:rsidRPr="00A66B35" w:rsidRDefault="00BD634E" w:rsidP="00BD634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567"/>
              <w:jc w:val="both"/>
            </w:pPr>
          </w:p>
          <w:p w:rsidR="00BD634E" w:rsidRPr="00A66B35" w:rsidRDefault="00BD634E" w:rsidP="005D53D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66B35">
              <w:rPr>
                <w:u w:val="single"/>
              </w:rPr>
              <w:t>Taškų skaičiavimas.</w:t>
            </w:r>
            <w:r w:rsidRPr="00A66B35">
              <w:t xml:space="preserve"> Pasibaigus kiekvienam ratui surašomi kiekvieno žaidėjo surinkti taškai ir apskaičiuojamas taškų %</w:t>
            </w:r>
            <w:r w:rsidRPr="00A66B35">
              <w:rPr>
                <w:rStyle w:val="FootnoteReference"/>
              </w:rPr>
              <w:footnoteReference w:id="6"/>
            </w:r>
            <w:r w:rsidRPr="00A66B35">
              <w:t>. Reitingas apskaičiuojamas pagal</w:t>
            </w:r>
            <w:r>
              <w:t xml:space="preserve"> </w:t>
            </w:r>
            <w:r w:rsidRPr="00A66B35">
              <w:t>pergalių skaičių</w:t>
            </w:r>
            <w:r>
              <w:t>,</w:t>
            </w:r>
            <w:r w:rsidRPr="00A66B35">
              <w:t xml:space="preserve"> taškų %</w:t>
            </w:r>
            <w:r>
              <w:t xml:space="preserve"> ir </w:t>
            </w:r>
            <w:r w:rsidRPr="00A66B35">
              <w:t xml:space="preserve">taškų skaičių. Kuo </w:t>
            </w:r>
            <w:r>
              <w:t>pergalių</w:t>
            </w:r>
            <w:r w:rsidRPr="00A66B35">
              <w:t xml:space="preserve"> skaičius didesnis, tuo žaidėjo reitingas geresnis.</w:t>
            </w:r>
          </w:p>
        </w:tc>
      </w:tr>
      <w:tr w:rsidR="00294FCC" w:rsidTr="00294FCC">
        <w:tc>
          <w:tcPr>
            <w:tcW w:w="9855" w:type="dxa"/>
          </w:tcPr>
          <w:p w:rsidR="00294FCC" w:rsidRDefault="00294FCC" w:rsidP="00294FC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4FCC" w:rsidRPr="00A66B35" w:rsidRDefault="00294FCC" w:rsidP="00294FC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A66B35">
              <w:rPr>
                <w:b/>
              </w:rPr>
              <w:t>1</w:t>
            </w:r>
            <w:r>
              <w:rPr>
                <w:b/>
              </w:rPr>
              <w:t>4.10</w:t>
            </w:r>
            <w:r w:rsidRPr="00A66B35">
              <w:rPr>
                <w:b/>
              </w:rPr>
              <w:t xml:space="preserve"> Renginio uždarymas (</w:t>
            </w:r>
            <w:r w:rsidRPr="00A66B35">
              <w:rPr>
                <w:b/>
                <w:i/>
              </w:rPr>
              <w:t>15 min.</w:t>
            </w:r>
            <w:r w:rsidRPr="00A66B35">
              <w:rPr>
                <w:b/>
              </w:rPr>
              <w:t>)</w:t>
            </w:r>
          </w:p>
        </w:tc>
      </w:tr>
      <w:tr w:rsidR="00BD634E" w:rsidTr="00294FCC">
        <w:tc>
          <w:tcPr>
            <w:tcW w:w="9855" w:type="dxa"/>
          </w:tcPr>
          <w:p w:rsidR="00BD634E" w:rsidRPr="00A66B35" w:rsidRDefault="00BD634E" w:rsidP="00D23DE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</w:pPr>
            <w:r w:rsidRPr="00A66B35">
              <w:t>Įteikiami apdovanojimai (</w:t>
            </w:r>
            <w:r w:rsidRPr="00A66B35">
              <w:rPr>
                <w:i/>
              </w:rPr>
              <w:t>geriausiai pasirodžiusiems žaidėjams</w:t>
            </w:r>
            <w:r w:rsidRPr="00A66B35">
              <w:t>).</w:t>
            </w:r>
          </w:p>
        </w:tc>
      </w:tr>
    </w:tbl>
    <w:p w:rsidR="0005209F" w:rsidRDefault="0005209F" w:rsidP="00A110C7">
      <w:pPr>
        <w:tabs>
          <w:tab w:val="left" w:pos="993"/>
        </w:tabs>
        <w:overflowPunct w:val="0"/>
        <w:autoSpaceDE w:val="0"/>
        <w:autoSpaceDN w:val="0"/>
        <w:adjustRightInd w:val="0"/>
        <w:jc w:val="both"/>
      </w:pPr>
    </w:p>
    <w:p w:rsidR="00D23DE9" w:rsidRDefault="00D23DE9" w:rsidP="00D2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567"/>
        <w:jc w:val="both"/>
      </w:pPr>
      <w:r>
        <w:t>Dalyvavę žaidėjai išrikiuojami pagal reitingus ir geriausiai pasirodę žaidėjai el. paštu pakviečiami dalyvauti finale. Kam nors atsisakius, pakviečiamas dalyvauti sekantis žaidėjas pagal reitingą.</w:t>
      </w:r>
    </w:p>
    <w:p w:rsidR="00D23DE9" w:rsidRDefault="00D23DE9" w:rsidP="00A110C7">
      <w:pPr>
        <w:tabs>
          <w:tab w:val="left" w:pos="993"/>
        </w:tabs>
        <w:overflowPunct w:val="0"/>
        <w:autoSpaceDE w:val="0"/>
        <w:autoSpaceDN w:val="0"/>
        <w:adjustRightInd w:val="0"/>
        <w:jc w:val="both"/>
      </w:pPr>
    </w:p>
    <w:p w:rsidR="001708AC" w:rsidRPr="0005209F" w:rsidRDefault="00D86DB8" w:rsidP="001708AC">
      <w:pPr>
        <w:shd w:val="clear" w:color="auto" w:fill="BFBFBF" w:themeFill="background1" w:themeFillShade="BF"/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2019</w:t>
      </w:r>
      <w:r w:rsidR="001708AC" w:rsidRPr="0005209F">
        <w:rPr>
          <w:b/>
        </w:rPr>
        <w:t xml:space="preserve"> m. </w:t>
      </w:r>
      <w:r>
        <w:rPr>
          <w:b/>
        </w:rPr>
        <w:t>spalio 13</w:t>
      </w:r>
      <w:r w:rsidR="001708AC" w:rsidRPr="0005209F">
        <w:rPr>
          <w:b/>
        </w:rPr>
        <w:t> d. (</w:t>
      </w:r>
      <w:r>
        <w:rPr>
          <w:b/>
          <w:i/>
        </w:rPr>
        <w:t>sekmadienis</w:t>
      </w:r>
      <w:r w:rsidR="001708AC" w:rsidRPr="0005209F">
        <w:rPr>
          <w:b/>
        </w:rPr>
        <w:t>)</w:t>
      </w:r>
    </w:p>
    <w:p w:rsidR="001708AC" w:rsidRDefault="001708AC" w:rsidP="00A110C7">
      <w:pPr>
        <w:tabs>
          <w:tab w:val="left" w:pos="993"/>
        </w:tabs>
        <w:overflowPunct w:val="0"/>
        <w:autoSpaceDE w:val="0"/>
        <w:autoSpaceDN w:val="0"/>
        <w:adjustRightInd w:val="0"/>
        <w:jc w:val="both"/>
      </w:pPr>
    </w:p>
    <w:p w:rsidR="001708AC" w:rsidRPr="00A66B35" w:rsidRDefault="001708AC" w:rsidP="001708AC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A66B35">
        <w:rPr>
          <w:b/>
        </w:rPr>
        <w:t>10.45 Pasiruošimas (</w:t>
      </w:r>
      <w:r w:rsidRPr="00A66B35">
        <w:rPr>
          <w:b/>
          <w:i/>
        </w:rPr>
        <w:t>15 min.</w:t>
      </w:r>
      <w:r w:rsidRPr="00A66B35">
        <w:rPr>
          <w:b/>
        </w:rPr>
        <w:t>)</w:t>
      </w:r>
    </w:p>
    <w:p w:rsidR="001708AC" w:rsidRPr="00A66B35" w:rsidRDefault="001708AC" w:rsidP="001708AC">
      <w:pPr>
        <w:overflowPunct w:val="0"/>
        <w:autoSpaceDE w:val="0"/>
        <w:autoSpaceDN w:val="0"/>
        <w:adjustRightInd w:val="0"/>
        <w:ind w:firstLine="567"/>
        <w:jc w:val="both"/>
      </w:pPr>
      <w:r w:rsidRPr="00A66B35">
        <w:t>Stalų, kėdžių išdėliojimas, žaidimų paruošimas ir dalyvių sutikrinimas.</w:t>
      </w:r>
    </w:p>
    <w:p w:rsidR="001708AC" w:rsidRPr="00A66B35" w:rsidRDefault="001708AC" w:rsidP="001708AC">
      <w:pPr>
        <w:tabs>
          <w:tab w:val="left" w:pos="993"/>
        </w:tabs>
        <w:overflowPunct w:val="0"/>
        <w:autoSpaceDE w:val="0"/>
        <w:autoSpaceDN w:val="0"/>
        <w:adjustRightInd w:val="0"/>
        <w:jc w:val="both"/>
      </w:pPr>
    </w:p>
    <w:p w:rsidR="001708AC" w:rsidRPr="00A66B35" w:rsidRDefault="001708AC" w:rsidP="001708AC">
      <w:pPr>
        <w:tabs>
          <w:tab w:val="left" w:pos="993"/>
        </w:tabs>
        <w:overflowPunct w:val="0"/>
        <w:autoSpaceDE w:val="0"/>
        <w:autoSpaceDN w:val="0"/>
        <w:adjustRightInd w:val="0"/>
        <w:jc w:val="both"/>
      </w:pPr>
      <w:r w:rsidRPr="00A66B35">
        <w:rPr>
          <w:b/>
        </w:rPr>
        <w:t>11.00 5 raundai (</w:t>
      </w:r>
      <w:r>
        <w:rPr>
          <w:b/>
          <w:i/>
        </w:rPr>
        <w:t>3 val. 10 </w:t>
      </w:r>
      <w:r w:rsidRPr="00A66B35">
        <w:rPr>
          <w:b/>
          <w:i/>
        </w:rPr>
        <w:t>min.</w:t>
      </w:r>
      <w:r w:rsidRPr="00A66B35">
        <w:rPr>
          <w:b/>
        </w:rPr>
        <w:t>)</w:t>
      </w:r>
    </w:p>
    <w:p w:rsidR="001708AC" w:rsidRDefault="001708AC" w:rsidP="001708AC">
      <w:pPr>
        <w:overflowPunct w:val="0"/>
        <w:autoSpaceDE w:val="0"/>
        <w:autoSpaceDN w:val="0"/>
        <w:adjustRightInd w:val="0"/>
        <w:ind w:firstLine="567"/>
        <w:jc w:val="both"/>
      </w:pPr>
      <w:r w:rsidRPr="00A66B35">
        <w:t>Pirmame raunde žaidėjai prie žaidimų po du paskirstomi</w:t>
      </w:r>
      <w:r>
        <w:t xml:space="preserve"> taip: atrankinio etapo geriausias pagal reitingą žaidėjas žaidžia su x/2 žaidėju (</w:t>
      </w:r>
      <w:r w:rsidRPr="001708AC">
        <w:rPr>
          <w:i/>
        </w:rPr>
        <w:t>kur x – finalo dalyvių skaičius</w:t>
      </w:r>
      <w:r>
        <w:t xml:space="preserve">) ir t. t. </w:t>
      </w:r>
      <w:r w:rsidRPr="00A66B35">
        <w:t>Vėlesniems raundams</w:t>
      </w:r>
      <w:r>
        <w:t xml:space="preserve"> organizatoriai</w:t>
      </w:r>
      <w:r w:rsidRPr="00A66B35">
        <w:t xml:space="preserve"> dalyvi</w:t>
      </w:r>
      <w:r>
        <w:t>us</w:t>
      </w:r>
      <w:r w:rsidRPr="00A66B35">
        <w:t xml:space="preserve"> </w:t>
      </w:r>
      <w:r>
        <w:t xml:space="preserve">išrikiuoja pagal reitingus </w:t>
      </w:r>
      <w:r w:rsidRPr="00A66B35">
        <w:t>ir suporuoja iš eilės.</w:t>
      </w:r>
      <w:r w:rsidR="00D86DB8">
        <w:t xml:space="preserve"> Bus siekiama, kad vėlesniuose raunduose nežaistų jau kartu žaidę žaidėjai.</w:t>
      </w:r>
      <w:r w:rsidRPr="00A66B35">
        <w:t xml:space="preserve"> </w:t>
      </w:r>
      <w:r>
        <w:t>Žaidimo pradžioje kiekvienas žaidėjas ridena po tris kauliukus. Didesnę sumą išridenęs žaidėjas nusprendžia kas pradeda žaidimą.</w:t>
      </w:r>
    </w:p>
    <w:p w:rsidR="001708AC" w:rsidRDefault="001708AC" w:rsidP="001708AC">
      <w:pPr>
        <w:overflowPunct w:val="0"/>
        <w:autoSpaceDE w:val="0"/>
        <w:autoSpaceDN w:val="0"/>
        <w:adjustRightInd w:val="0"/>
        <w:ind w:firstLine="567"/>
        <w:jc w:val="both"/>
      </w:pPr>
    </w:p>
    <w:p w:rsidR="001708AC" w:rsidRPr="00847BE7" w:rsidRDefault="001708AC" w:rsidP="001708AC">
      <w:pPr>
        <w:overflowPunct w:val="0"/>
        <w:autoSpaceDE w:val="0"/>
        <w:autoSpaceDN w:val="0"/>
        <w:adjustRightInd w:val="0"/>
        <w:ind w:firstLine="567"/>
        <w:jc w:val="both"/>
        <w:rPr>
          <w:u w:val="single"/>
          <w:lang w:val="en-GB"/>
        </w:rPr>
      </w:pPr>
      <w:r>
        <w:rPr>
          <w:u w:val="single"/>
        </w:rPr>
        <w:t>Nelyginis dalyvių skaičius</w:t>
      </w:r>
      <w:r>
        <w:rPr>
          <w:i/>
          <w:u w:val="single"/>
        </w:rPr>
        <w:t>.</w:t>
      </w:r>
      <w:r w:rsidRPr="00847BE7">
        <w:t xml:space="preserve"> </w:t>
      </w:r>
      <w:r w:rsidR="00520B42" w:rsidRPr="00847BE7">
        <w:t xml:space="preserve">Pirmame raunde </w:t>
      </w:r>
      <w:r w:rsidR="00520B42">
        <w:t>atsitiktinis žaidėjas, kituose raunduose žemiausią reitingą turintis žaidėjas gauna pergalę, X taškų ir Y </w:t>
      </w:r>
      <w:r w:rsidR="00520B42">
        <w:rPr>
          <w:lang w:val="en-US"/>
        </w:rPr>
        <w:t xml:space="preserve">%. X – </w:t>
      </w:r>
      <w:r w:rsidR="00520B42">
        <w:t>pirmame raunde laimėjusių žaidėjų taškų vidurkis, Y – X padalintas iš pirmame raunde laimėjusių ir pralaimėjusių žaidėjų taškų vidurkių sumos ir padaugintas iš 100.</w:t>
      </w:r>
    </w:p>
    <w:p w:rsidR="001708AC" w:rsidRPr="00A66B35" w:rsidRDefault="001708AC" w:rsidP="001708AC">
      <w:pPr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</w:pPr>
    </w:p>
    <w:p w:rsidR="001708AC" w:rsidRDefault="001708AC" w:rsidP="001708AC">
      <w:pPr>
        <w:overflowPunct w:val="0"/>
        <w:autoSpaceDE w:val="0"/>
        <w:autoSpaceDN w:val="0"/>
        <w:adjustRightInd w:val="0"/>
        <w:ind w:firstLine="567"/>
        <w:jc w:val="both"/>
      </w:pPr>
      <w:r w:rsidRPr="00A66B35">
        <w:rPr>
          <w:u w:val="single"/>
        </w:rPr>
        <w:t>Taškų skaičiavimas.</w:t>
      </w:r>
      <w:r w:rsidRPr="00A66B35">
        <w:t xml:space="preserve"> Pasibaigus kiekvienam ratui surašomi kiekvieno žaidėjo surinkti taškai ir apskaičiuojamas taškų %</w:t>
      </w:r>
      <w:r w:rsidR="0049133D">
        <w:rPr>
          <w:rStyle w:val="FootnoteReference"/>
        </w:rPr>
        <w:t>5</w:t>
      </w:r>
      <w:r w:rsidRPr="00A66B35">
        <w:t>. Reitingas apskaičiuojamas pagal</w:t>
      </w:r>
      <w:r>
        <w:t xml:space="preserve"> </w:t>
      </w:r>
      <w:r w:rsidRPr="00A66B35">
        <w:t>pergalių skaičių</w:t>
      </w:r>
      <w:r>
        <w:t>,</w:t>
      </w:r>
      <w:r w:rsidRPr="00A66B35">
        <w:t xml:space="preserve"> taškų %</w:t>
      </w:r>
      <w:r>
        <w:t xml:space="preserve"> ir </w:t>
      </w:r>
      <w:r w:rsidRPr="00A66B35">
        <w:t xml:space="preserve">taškų skaičių. Kuo </w:t>
      </w:r>
      <w:r>
        <w:t>pergalių</w:t>
      </w:r>
      <w:r w:rsidRPr="00A66B35">
        <w:t xml:space="preserve"> skaičius didesnis, tuo žaidėjo reitingas geresnis.</w:t>
      </w:r>
    </w:p>
    <w:p w:rsidR="006F6215" w:rsidRDefault="006F6215" w:rsidP="001708AC">
      <w:pPr>
        <w:overflowPunct w:val="0"/>
        <w:autoSpaceDE w:val="0"/>
        <w:autoSpaceDN w:val="0"/>
        <w:adjustRightInd w:val="0"/>
        <w:ind w:firstLine="567"/>
        <w:jc w:val="both"/>
      </w:pPr>
    </w:p>
    <w:p w:rsidR="006F6215" w:rsidRPr="006F6215" w:rsidRDefault="006F6215" w:rsidP="001708AC">
      <w:pPr>
        <w:overflowPunct w:val="0"/>
        <w:autoSpaceDE w:val="0"/>
        <w:autoSpaceDN w:val="0"/>
        <w:adjustRightInd w:val="0"/>
        <w:ind w:firstLine="567"/>
        <w:jc w:val="both"/>
      </w:pPr>
      <w:r>
        <w:rPr>
          <w:u w:val="single"/>
        </w:rPr>
        <w:t>17 ar daugiau dalyvių.</w:t>
      </w:r>
      <w:r w:rsidRPr="006F6215">
        <w:t xml:space="preserve"> </w:t>
      </w:r>
      <w:r>
        <w:t>Po 3 raundo žaidimą toliau tęsia 4 geriausi pagal reitingą žaidėjai. 4 raundo porų laimėtojai susitinka dėl 1-2 vietos, o pralaimėtojai – dėl 3-4 vietos 5 raunde.</w:t>
      </w:r>
    </w:p>
    <w:p w:rsidR="001708AC" w:rsidRPr="00A66B35" w:rsidRDefault="001708AC" w:rsidP="001708AC">
      <w:pPr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</w:pPr>
    </w:p>
    <w:p w:rsidR="001708AC" w:rsidRPr="00A66B35" w:rsidRDefault="001708AC" w:rsidP="001708AC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A66B35">
        <w:rPr>
          <w:b/>
        </w:rPr>
        <w:t>1</w:t>
      </w:r>
      <w:r>
        <w:rPr>
          <w:b/>
        </w:rPr>
        <w:t>4.10</w:t>
      </w:r>
      <w:r w:rsidRPr="00A66B35">
        <w:rPr>
          <w:b/>
        </w:rPr>
        <w:t xml:space="preserve"> Renginio uždarymas (</w:t>
      </w:r>
      <w:r w:rsidRPr="00A66B35">
        <w:rPr>
          <w:b/>
          <w:i/>
        </w:rPr>
        <w:t>15 min.</w:t>
      </w:r>
      <w:r w:rsidRPr="00A66B35">
        <w:rPr>
          <w:b/>
        </w:rPr>
        <w:t>)</w:t>
      </w:r>
    </w:p>
    <w:p w:rsidR="001708AC" w:rsidRDefault="001708AC" w:rsidP="001708AC">
      <w:pPr>
        <w:overflowPunct w:val="0"/>
        <w:autoSpaceDE w:val="0"/>
        <w:autoSpaceDN w:val="0"/>
        <w:adjustRightInd w:val="0"/>
        <w:ind w:firstLine="567"/>
        <w:jc w:val="both"/>
      </w:pPr>
      <w:r w:rsidRPr="00A66B35">
        <w:t>Įteikiami apdovanojimai (</w:t>
      </w:r>
      <w:r w:rsidRPr="00A66B35">
        <w:rPr>
          <w:i/>
        </w:rPr>
        <w:t>geriausiai pasirodžiusiems žaidėjams</w:t>
      </w:r>
      <w:r w:rsidRPr="00A66B35">
        <w:t>).</w:t>
      </w:r>
    </w:p>
    <w:p w:rsidR="00BD634E" w:rsidRPr="00E7337F" w:rsidRDefault="00BD634E" w:rsidP="00284CC5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E7337F" w:rsidRPr="00E7337F" w:rsidTr="00192B3F">
        <w:tc>
          <w:tcPr>
            <w:tcW w:w="3285" w:type="dxa"/>
            <w:shd w:val="clear" w:color="auto" w:fill="auto"/>
          </w:tcPr>
          <w:p w:rsidR="00284CC5" w:rsidRPr="00E7337F" w:rsidRDefault="00284CC5" w:rsidP="00192B3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284CC5" w:rsidRPr="00E7337F" w:rsidRDefault="00284CC5" w:rsidP="00192B3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284CC5" w:rsidRPr="00E7337F" w:rsidRDefault="00284CC5" w:rsidP="00192B3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284CC5" w:rsidRPr="006F6215" w:rsidRDefault="00284CC5" w:rsidP="00284CC5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284CC5" w:rsidRPr="006F6215" w:rsidSect="00D93C84">
      <w:headerReference w:type="default" r:id="rId16"/>
      <w:pgSz w:w="11907" w:h="16840"/>
      <w:pgMar w:top="1134" w:right="567" w:bottom="1134" w:left="1701" w:header="567" w:footer="771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B62" w:rsidRDefault="000B2B62">
      <w:r>
        <w:separator/>
      </w:r>
    </w:p>
  </w:endnote>
  <w:endnote w:type="continuationSeparator" w:id="0">
    <w:p w:rsidR="000B2B62" w:rsidRDefault="000B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B62" w:rsidRDefault="000B2B62">
      <w:r>
        <w:separator/>
      </w:r>
    </w:p>
  </w:footnote>
  <w:footnote w:type="continuationSeparator" w:id="0">
    <w:p w:rsidR="000B2B62" w:rsidRDefault="000B2B62">
      <w:r>
        <w:continuationSeparator/>
      </w:r>
    </w:p>
  </w:footnote>
  <w:footnote w:id="1">
    <w:p w:rsidR="00C66490" w:rsidRDefault="00C664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17ACF">
          <w:rPr>
            <w:rStyle w:val="Hyperlink"/>
          </w:rPr>
          <w:t>http://www.hexagon.lt/kontaktai/</w:t>
        </w:r>
      </w:hyperlink>
    </w:p>
  </w:footnote>
  <w:footnote w:id="2">
    <w:p w:rsidR="00AA7781" w:rsidRDefault="00AA77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17ACF">
          <w:rPr>
            <w:rStyle w:val="Hyperlink"/>
          </w:rPr>
          <w:t>https://boardgamegeek.com/boardgame/269210/twice-clever</w:t>
        </w:r>
      </w:hyperlink>
    </w:p>
  </w:footnote>
  <w:footnote w:id="3">
    <w:p w:rsidR="00AA7781" w:rsidRDefault="00AA77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617ACF">
          <w:rPr>
            <w:rStyle w:val="Hyperlink"/>
          </w:rPr>
          <w:t>http://www.brettspielwelt.de/Other/Clever/</w:t>
        </w:r>
      </w:hyperlink>
    </w:p>
  </w:footnote>
  <w:footnote w:id="4">
    <w:p w:rsidR="005D53D2" w:rsidRDefault="005D53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D3173B">
          <w:rPr>
            <w:rStyle w:val="Hyperlink"/>
          </w:rPr>
          <w:t>https://docs.google.com/forms/d/e/1FAIpQLSdBTMBFIJmrrhRkK5zzp6fjBGd_8AVGVdFC02YIkNI-Uil6FQ/closedform</w:t>
        </w:r>
      </w:hyperlink>
    </w:p>
  </w:footnote>
  <w:footnote w:id="5">
    <w:p w:rsidR="00BD634E" w:rsidRDefault="00BD634E">
      <w:pPr>
        <w:pStyle w:val="FootnoteText"/>
      </w:pPr>
      <w:r>
        <w:rPr>
          <w:rStyle w:val="FootnoteReference"/>
        </w:rPr>
        <w:footnoteRef/>
      </w:r>
      <w:r w:rsidR="006A1160">
        <w:t> Paskirstymo sumanymas gali keistis priklausomai nuo dalyvių skaičiaus.</w:t>
      </w:r>
    </w:p>
  </w:footnote>
  <w:footnote w:id="6">
    <w:p w:rsidR="00BD634E" w:rsidRDefault="00BD634E" w:rsidP="00BD634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 Žaidėjo surinkti taškai dalinami iš prie to stalo surinktų taškų sumos ir padauginama iš 100. </w:t>
      </w:r>
      <w:r w:rsidRPr="00425678">
        <w:rPr>
          <w:i/>
        </w:rPr>
        <w:t>Pvz.: 1-as ž. turi 1</w:t>
      </w:r>
      <w:r>
        <w:rPr>
          <w:i/>
        </w:rPr>
        <w:t>79 </w:t>
      </w:r>
      <w:r w:rsidRPr="00425678">
        <w:rPr>
          <w:i/>
        </w:rPr>
        <w:t xml:space="preserve">t., 2-as ž. turi </w:t>
      </w:r>
      <w:r>
        <w:rPr>
          <w:i/>
        </w:rPr>
        <w:t>159 </w:t>
      </w:r>
      <w:r w:rsidRPr="00425678">
        <w:rPr>
          <w:i/>
        </w:rPr>
        <w:t xml:space="preserve">t. Suma </w:t>
      </w:r>
      <w:r>
        <w:rPr>
          <w:i/>
        </w:rPr>
        <w:t>–</w:t>
      </w:r>
      <w:r w:rsidRPr="00425678">
        <w:rPr>
          <w:i/>
        </w:rPr>
        <w:t xml:space="preserve"> </w:t>
      </w:r>
      <w:r>
        <w:rPr>
          <w:i/>
        </w:rPr>
        <w:t>338 </w:t>
      </w:r>
      <w:r w:rsidRPr="00425678">
        <w:rPr>
          <w:i/>
        </w:rPr>
        <w:t xml:space="preserve">taškai. Tad pirmo žaidėjo </w:t>
      </w:r>
      <w:r>
        <w:rPr>
          <w:i/>
        </w:rPr>
        <w:t>taškų </w:t>
      </w:r>
      <w:r>
        <w:rPr>
          <w:i/>
          <w:lang w:val="en-US"/>
        </w:rPr>
        <w:t>%</w:t>
      </w:r>
      <w:r w:rsidRPr="00425678">
        <w:rPr>
          <w:i/>
        </w:rPr>
        <w:t xml:space="preserve"> yra </w:t>
      </w:r>
      <w:r>
        <w:rPr>
          <w:i/>
        </w:rPr>
        <w:t>52</w:t>
      </w:r>
      <w:r w:rsidRPr="00425678">
        <w:rPr>
          <w:i/>
        </w:rPr>
        <w:t>,</w:t>
      </w:r>
      <w:r>
        <w:rPr>
          <w:i/>
        </w:rPr>
        <w:t>96</w:t>
      </w:r>
      <w:r w:rsidRPr="00425678">
        <w:rPr>
          <w:i/>
        </w:rPr>
        <w:t> % (</w:t>
      </w:r>
      <w:r>
        <w:rPr>
          <w:i/>
        </w:rPr>
        <w:t>179</w:t>
      </w:r>
      <w:r w:rsidRPr="00425678">
        <w:rPr>
          <w:i/>
        </w:rPr>
        <w:t>/</w:t>
      </w:r>
      <w:r>
        <w:rPr>
          <w:i/>
        </w:rPr>
        <w:t>338</w:t>
      </w:r>
      <w:r w:rsidRPr="00425678">
        <w:rPr>
          <w:i/>
        </w:rPr>
        <w:t>*100) ir atitinkamai kit</w:t>
      </w:r>
      <w:r>
        <w:rPr>
          <w:i/>
        </w:rPr>
        <w:t>o žaidėjo 47</w:t>
      </w:r>
      <w:r w:rsidRPr="00425678">
        <w:rPr>
          <w:i/>
        </w:rPr>
        <w:t>,</w:t>
      </w:r>
      <w:r>
        <w:rPr>
          <w:i/>
        </w:rPr>
        <w:t>04</w:t>
      </w:r>
      <w:r w:rsidRPr="00425678">
        <w:rPr>
          <w:i/>
        </w:rPr>
        <w:t> 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E13" w:rsidRDefault="004D1E13" w:rsidP="000C3E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6DB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47B"/>
    <w:multiLevelType w:val="hybridMultilevel"/>
    <w:tmpl w:val="4922283A"/>
    <w:lvl w:ilvl="0" w:tplc="04270019">
      <w:start w:val="1"/>
      <w:numFmt w:val="lowerLetter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8F25A7"/>
    <w:multiLevelType w:val="hybridMultilevel"/>
    <w:tmpl w:val="408CBBBA"/>
    <w:lvl w:ilvl="0" w:tplc="70FE3B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2E1EF1"/>
    <w:multiLevelType w:val="hybridMultilevel"/>
    <w:tmpl w:val="0CD46F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61A7"/>
    <w:multiLevelType w:val="hybridMultilevel"/>
    <w:tmpl w:val="5A96C45E"/>
    <w:lvl w:ilvl="0" w:tplc="16923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6197"/>
    <w:multiLevelType w:val="hybridMultilevel"/>
    <w:tmpl w:val="71FE7642"/>
    <w:lvl w:ilvl="0" w:tplc="04270019">
      <w:start w:val="1"/>
      <w:numFmt w:val="lowerLetter"/>
      <w:lvlText w:val="%1."/>
      <w:lvlJc w:val="left"/>
      <w:pPr>
        <w:ind w:left="1350" w:hanging="360"/>
      </w:p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C1D20C7"/>
    <w:multiLevelType w:val="hybridMultilevel"/>
    <w:tmpl w:val="36909A68"/>
    <w:lvl w:ilvl="0" w:tplc="0427000F">
      <w:start w:val="1"/>
      <w:numFmt w:val="decimal"/>
      <w:lvlText w:val="%1."/>
      <w:lvlJc w:val="left"/>
      <w:pPr>
        <w:ind w:left="1350" w:hanging="360"/>
      </w:p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0031A03"/>
    <w:multiLevelType w:val="hybridMultilevel"/>
    <w:tmpl w:val="4636F4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E7C0F"/>
    <w:multiLevelType w:val="hybridMultilevel"/>
    <w:tmpl w:val="2C3ED52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D61DBB"/>
    <w:multiLevelType w:val="hybridMultilevel"/>
    <w:tmpl w:val="B486F6D6"/>
    <w:lvl w:ilvl="0" w:tplc="E9B0A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5233F2"/>
    <w:multiLevelType w:val="hybridMultilevel"/>
    <w:tmpl w:val="1A9647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D6C76"/>
    <w:multiLevelType w:val="hybridMultilevel"/>
    <w:tmpl w:val="0CD46F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73951"/>
    <w:multiLevelType w:val="hybridMultilevel"/>
    <w:tmpl w:val="43100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2FE6"/>
    <w:multiLevelType w:val="hybridMultilevel"/>
    <w:tmpl w:val="4922283A"/>
    <w:lvl w:ilvl="0" w:tplc="04270019">
      <w:start w:val="1"/>
      <w:numFmt w:val="lowerLetter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791792"/>
    <w:multiLevelType w:val="hybridMultilevel"/>
    <w:tmpl w:val="0CD46F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138DC"/>
    <w:multiLevelType w:val="hybridMultilevel"/>
    <w:tmpl w:val="19A426C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11779BE"/>
    <w:multiLevelType w:val="hybridMultilevel"/>
    <w:tmpl w:val="0CD46F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90FAA"/>
    <w:multiLevelType w:val="hybridMultilevel"/>
    <w:tmpl w:val="1C08D602"/>
    <w:lvl w:ilvl="0" w:tplc="64D815AE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013CA"/>
    <w:multiLevelType w:val="hybridMultilevel"/>
    <w:tmpl w:val="BCB4CE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35D58"/>
    <w:multiLevelType w:val="hybridMultilevel"/>
    <w:tmpl w:val="6B42409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D6A10"/>
    <w:multiLevelType w:val="hybridMultilevel"/>
    <w:tmpl w:val="6E4833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C7224"/>
    <w:multiLevelType w:val="hybridMultilevel"/>
    <w:tmpl w:val="FE500108"/>
    <w:lvl w:ilvl="0" w:tplc="C1CC5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AF5122"/>
    <w:multiLevelType w:val="hybridMultilevel"/>
    <w:tmpl w:val="8C04EF4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8"/>
  </w:num>
  <w:num w:numId="5">
    <w:abstractNumId w:val="4"/>
  </w:num>
  <w:num w:numId="6">
    <w:abstractNumId w:val="0"/>
  </w:num>
  <w:num w:numId="7">
    <w:abstractNumId w:val="12"/>
  </w:num>
  <w:num w:numId="8">
    <w:abstractNumId w:val="3"/>
  </w:num>
  <w:num w:numId="9">
    <w:abstractNumId w:val="6"/>
  </w:num>
  <w:num w:numId="10">
    <w:abstractNumId w:val="15"/>
  </w:num>
  <w:num w:numId="11">
    <w:abstractNumId w:val="10"/>
  </w:num>
  <w:num w:numId="12">
    <w:abstractNumId w:val="17"/>
  </w:num>
  <w:num w:numId="13">
    <w:abstractNumId w:val="19"/>
  </w:num>
  <w:num w:numId="14">
    <w:abstractNumId w:val="16"/>
  </w:num>
  <w:num w:numId="15">
    <w:abstractNumId w:val="5"/>
  </w:num>
  <w:num w:numId="16">
    <w:abstractNumId w:val="21"/>
  </w:num>
  <w:num w:numId="17">
    <w:abstractNumId w:val="7"/>
  </w:num>
  <w:num w:numId="18">
    <w:abstractNumId w:val="9"/>
  </w:num>
  <w:num w:numId="19">
    <w:abstractNumId w:val="11"/>
  </w:num>
  <w:num w:numId="20">
    <w:abstractNumId w:val="18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96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68"/>
    <w:rsid w:val="000034FE"/>
    <w:rsid w:val="00004ADB"/>
    <w:rsid w:val="00006CC1"/>
    <w:rsid w:val="00030271"/>
    <w:rsid w:val="00037878"/>
    <w:rsid w:val="0004051E"/>
    <w:rsid w:val="000413B5"/>
    <w:rsid w:val="00046F17"/>
    <w:rsid w:val="00047CF4"/>
    <w:rsid w:val="0005209F"/>
    <w:rsid w:val="00060CF6"/>
    <w:rsid w:val="00061A79"/>
    <w:rsid w:val="0007416B"/>
    <w:rsid w:val="0007514C"/>
    <w:rsid w:val="0009540C"/>
    <w:rsid w:val="000A72F7"/>
    <w:rsid w:val="000B2B62"/>
    <w:rsid w:val="000C2F0C"/>
    <w:rsid w:val="000C3E31"/>
    <w:rsid w:val="000D21CE"/>
    <w:rsid w:val="000F41CB"/>
    <w:rsid w:val="00104D5D"/>
    <w:rsid w:val="00104E24"/>
    <w:rsid w:val="0010642C"/>
    <w:rsid w:val="00107273"/>
    <w:rsid w:val="00112B6C"/>
    <w:rsid w:val="00112DD8"/>
    <w:rsid w:val="00114720"/>
    <w:rsid w:val="00114F0F"/>
    <w:rsid w:val="00115921"/>
    <w:rsid w:val="0013698B"/>
    <w:rsid w:val="00140670"/>
    <w:rsid w:val="0014091C"/>
    <w:rsid w:val="00144BE4"/>
    <w:rsid w:val="001609D3"/>
    <w:rsid w:val="00162281"/>
    <w:rsid w:val="00164925"/>
    <w:rsid w:val="001702A2"/>
    <w:rsid w:val="001708AC"/>
    <w:rsid w:val="00173E4A"/>
    <w:rsid w:val="0017647E"/>
    <w:rsid w:val="00177001"/>
    <w:rsid w:val="00182AEA"/>
    <w:rsid w:val="00192669"/>
    <w:rsid w:val="00192B3F"/>
    <w:rsid w:val="00194EE0"/>
    <w:rsid w:val="001962DE"/>
    <w:rsid w:val="00197A42"/>
    <w:rsid w:val="00197EE3"/>
    <w:rsid w:val="00197F02"/>
    <w:rsid w:val="001A01C4"/>
    <w:rsid w:val="001A0BC5"/>
    <w:rsid w:val="001A3E97"/>
    <w:rsid w:val="001A69D6"/>
    <w:rsid w:val="001B2C51"/>
    <w:rsid w:val="001C0939"/>
    <w:rsid w:val="001D242B"/>
    <w:rsid w:val="001D68A5"/>
    <w:rsid w:val="001E0AA1"/>
    <w:rsid w:val="001E37C9"/>
    <w:rsid w:val="001E6896"/>
    <w:rsid w:val="001F0070"/>
    <w:rsid w:val="00205A27"/>
    <w:rsid w:val="002109FD"/>
    <w:rsid w:val="002137EB"/>
    <w:rsid w:val="0021611F"/>
    <w:rsid w:val="002165FE"/>
    <w:rsid w:val="002324CD"/>
    <w:rsid w:val="00240947"/>
    <w:rsid w:val="00277ED9"/>
    <w:rsid w:val="00284CC5"/>
    <w:rsid w:val="00285AE2"/>
    <w:rsid w:val="00286F17"/>
    <w:rsid w:val="0028704F"/>
    <w:rsid w:val="00294FCC"/>
    <w:rsid w:val="00295DA4"/>
    <w:rsid w:val="002B3F31"/>
    <w:rsid w:val="002B4280"/>
    <w:rsid w:val="002B7891"/>
    <w:rsid w:val="002C71F5"/>
    <w:rsid w:val="002D4F01"/>
    <w:rsid w:val="002D5F3A"/>
    <w:rsid w:val="002E3F8A"/>
    <w:rsid w:val="002E41BB"/>
    <w:rsid w:val="002E6789"/>
    <w:rsid w:val="00300ACD"/>
    <w:rsid w:val="0030387E"/>
    <w:rsid w:val="00305268"/>
    <w:rsid w:val="00313117"/>
    <w:rsid w:val="003145A3"/>
    <w:rsid w:val="003161A0"/>
    <w:rsid w:val="00317B17"/>
    <w:rsid w:val="0032103F"/>
    <w:rsid w:val="003246C3"/>
    <w:rsid w:val="003320F7"/>
    <w:rsid w:val="00333A06"/>
    <w:rsid w:val="003410BC"/>
    <w:rsid w:val="0035403C"/>
    <w:rsid w:val="00362F1D"/>
    <w:rsid w:val="003667DB"/>
    <w:rsid w:val="003723AF"/>
    <w:rsid w:val="00394081"/>
    <w:rsid w:val="003B3725"/>
    <w:rsid w:val="003C2696"/>
    <w:rsid w:val="003C3281"/>
    <w:rsid w:val="003C5873"/>
    <w:rsid w:val="003D10F9"/>
    <w:rsid w:val="003D135B"/>
    <w:rsid w:val="003D18D4"/>
    <w:rsid w:val="003D5CAB"/>
    <w:rsid w:val="003E1575"/>
    <w:rsid w:val="003E1E94"/>
    <w:rsid w:val="003E3599"/>
    <w:rsid w:val="003F24A3"/>
    <w:rsid w:val="003F2C6A"/>
    <w:rsid w:val="00402F5A"/>
    <w:rsid w:val="004125ED"/>
    <w:rsid w:val="00424B2D"/>
    <w:rsid w:val="00425678"/>
    <w:rsid w:val="004313D3"/>
    <w:rsid w:val="00450220"/>
    <w:rsid w:val="004525E5"/>
    <w:rsid w:val="00455D2A"/>
    <w:rsid w:val="0046201B"/>
    <w:rsid w:val="0046588E"/>
    <w:rsid w:val="00476052"/>
    <w:rsid w:val="004801D6"/>
    <w:rsid w:val="004836EB"/>
    <w:rsid w:val="00484CC5"/>
    <w:rsid w:val="0049133D"/>
    <w:rsid w:val="004C03C0"/>
    <w:rsid w:val="004C4488"/>
    <w:rsid w:val="004C50AE"/>
    <w:rsid w:val="004D1E13"/>
    <w:rsid w:val="004D7547"/>
    <w:rsid w:val="004E51C6"/>
    <w:rsid w:val="004F5D03"/>
    <w:rsid w:val="004F7991"/>
    <w:rsid w:val="005004C3"/>
    <w:rsid w:val="005059CA"/>
    <w:rsid w:val="005114A4"/>
    <w:rsid w:val="00520B42"/>
    <w:rsid w:val="00521B5E"/>
    <w:rsid w:val="00530604"/>
    <w:rsid w:val="00532783"/>
    <w:rsid w:val="00535AC0"/>
    <w:rsid w:val="005411EF"/>
    <w:rsid w:val="0054205B"/>
    <w:rsid w:val="00547CCA"/>
    <w:rsid w:val="005506F4"/>
    <w:rsid w:val="00566C04"/>
    <w:rsid w:val="00574C06"/>
    <w:rsid w:val="00586C62"/>
    <w:rsid w:val="0058705F"/>
    <w:rsid w:val="00593B4C"/>
    <w:rsid w:val="005A5C14"/>
    <w:rsid w:val="005D53D2"/>
    <w:rsid w:val="005E788E"/>
    <w:rsid w:val="005F0EAC"/>
    <w:rsid w:val="005F5B80"/>
    <w:rsid w:val="006017F0"/>
    <w:rsid w:val="006074E3"/>
    <w:rsid w:val="00614427"/>
    <w:rsid w:val="0061445A"/>
    <w:rsid w:val="0061498A"/>
    <w:rsid w:val="00617AF9"/>
    <w:rsid w:val="00625634"/>
    <w:rsid w:val="0063467B"/>
    <w:rsid w:val="00642D71"/>
    <w:rsid w:val="00645B55"/>
    <w:rsid w:val="00647563"/>
    <w:rsid w:val="00655446"/>
    <w:rsid w:val="0066040F"/>
    <w:rsid w:val="00660FB1"/>
    <w:rsid w:val="006668A5"/>
    <w:rsid w:val="0067235C"/>
    <w:rsid w:val="00674DDC"/>
    <w:rsid w:val="00683225"/>
    <w:rsid w:val="006A1160"/>
    <w:rsid w:val="006A1C4C"/>
    <w:rsid w:val="006A3E03"/>
    <w:rsid w:val="006A794F"/>
    <w:rsid w:val="006C616F"/>
    <w:rsid w:val="006C784A"/>
    <w:rsid w:val="006D19A4"/>
    <w:rsid w:val="006D62CF"/>
    <w:rsid w:val="006D62DE"/>
    <w:rsid w:val="006E686B"/>
    <w:rsid w:val="006F6215"/>
    <w:rsid w:val="006F646E"/>
    <w:rsid w:val="00705C8A"/>
    <w:rsid w:val="007062C7"/>
    <w:rsid w:val="00714CF2"/>
    <w:rsid w:val="00723E64"/>
    <w:rsid w:val="00735471"/>
    <w:rsid w:val="007427BC"/>
    <w:rsid w:val="00746FF4"/>
    <w:rsid w:val="00753560"/>
    <w:rsid w:val="00755515"/>
    <w:rsid w:val="007563E6"/>
    <w:rsid w:val="0076116C"/>
    <w:rsid w:val="007621BD"/>
    <w:rsid w:val="00765ED5"/>
    <w:rsid w:val="00772208"/>
    <w:rsid w:val="00784B4A"/>
    <w:rsid w:val="007942EC"/>
    <w:rsid w:val="0079448E"/>
    <w:rsid w:val="007B3CE5"/>
    <w:rsid w:val="007B5891"/>
    <w:rsid w:val="007B5B4B"/>
    <w:rsid w:val="007C62DD"/>
    <w:rsid w:val="007E4E40"/>
    <w:rsid w:val="007F4244"/>
    <w:rsid w:val="00813AB9"/>
    <w:rsid w:val="0081555D"/>
    <w:rsid w:val="0081644C"/>
    <w:rsid w:val="0082098D"/>
    <w:rsid w:val="0082727B"/>
    <w:rsid w:val="00833F98"/>
    <w:rsid w:val="00835A70"/>
    <w:rsid w:val="00840E51"/>
    <w:rsid w:val="008473EA"/>
    <w:rsid w:val="00847BE7"/>
    <w:rsid w:val="008504DD"/>
    <w:rsid w:val="00853E40"/>
    <w:rsid w:val="00862C42"/>
    <w:rsid w:val="00863D54"/>
    <w:rsid w:val="00866031"/>
    <w:rsid w:val="00872EFF"/>
    <w:rsid w:val="0088206A"/>
    <w:rsid w:val="00887900"/>
    <w:rsid w:val="0089175D"/>
    <w:rsid w:val="00891BFA"/>
    <w:rsid w:val="0089365D"/>
    <w:rsid w:val="008971CC"/>
    <w:rsid w:val="008B5711"/>
    <w:rsid w:val="008C2107"/>
    <w:rsid w:val="008D0F34"/>
    <w:rsid w:val="008D13AA"/>
    <w:rsid w:val="008D467D"/>
    <w:rsid w:val="008E14EA"/>
    <w:rsid w:val="008E2D2B"/>
    <w:rsid w:val="008F4F12"/>
    <w:rsid w:val="009117C9"/>
    <w:rsid w:val="00912DAC"/>
    <w:rsid w:val="00914AD1"/>
    <w:rsid w:val="00916427"/>
    <w:rsid w:val="00916546"/>
    <w:rsid w:val="00926319"/>
    <w:rsid w:val="009303A4"/>
    <w:rsid w:val="009404D6"/>
    <w:rsid w:val="00940A45"/>
    <w:rsid w:val="00940BE7"/>
    <w:rsid w:val="0094119A"/>
    <w:rsid w:val="009440CF"/>
    <w:rsid w:val="009447F9"/>
    <w:rsid w:val="00946CB8"/>
    <w:rsid w:val="0095028F"/>
    <w:rsid w:val="00956CA5"/>
    <w:rsid w:val="0096467C"/>
    <w:rsid w:val="009734CB"/>
    <w:rsid w:val="00973DA2"/>
    <w:rsid w:val="00985C0F"/>
    <w:rsid w:val="009874A3"/>
    <w:rsid w:val="009902CE"/>
    <w:rsid w:val="009905B6"/>
    <w:rsid w:val="00994194"/>
    <w:rsid w:val="00996754"/>
    <w:rsid w:val="009B036D"/>
    <w:rsid w:val="009B1CF2"/>
    <w:rsid w:val="009C001D"/>
    <w:rsid w:val="009C1F31"/>
    <w:rsid w:val="009D1E57"/>
    <w:rsid w:val="009D6CF3"/>
    <w:rsid w:val="009E2B7A"/>
    <w:rsid w:val="009F063B"/>
    <w:rsid w:val="009F2C72"/>
    <w:rsid w:val="009F7597"/>
    <w:rsid w:val="00A00E2A"/>
    <w:rsid w:val="00A110C7"/>
    <w:rsid w:val="00A23930"/>
    <w:rsid w:val="00A274BB"/>
    <w:rsid w:val="00A3227C"/>
    <w:rsid w:val="00A41F42"/>
    <w:rsid w:val="00A51EE4"/>
    <w:rsid w:val="00A63EFF"/>
    <w:rsid w:val="00A66B35"/>
    <w:rsid w:val="00A72E7F"/>
    <w:rsid w:val="00A85548"/>
    <w:rsid w:val="00AA4F94"/>
    <w:rsid w:val="00AA7781"/>
    <w:rsid w:val="00AB05D2"/>
    <w:rsid w:val="00AB7F84"/>
    <w:rsid w:val="00AC3E85"/>
    <w:rsid w:val="00AD078F"/>
    <w:rsid w:val="00AD5BE8"/>
    <w:rsid w:val="00AE0A73"/>
    <w:rsid w:val="00AE4A75"/>
    <w:rsid w:val="00AE6051"/>
    <w:rsid w:val="00AF2722"/>
    <w:rsid w:val="00AF4D55"/>
    <w:rsid w:val="00AF6453"/>
    <w:rsid w:val="00B078B0"/>
    <w:rsid w:val="00B20168"/>
    <w:rsid w:val="00B24E25"/>
    <w:rsid w:val="00B2620D"/>
    <w:rsid w:val="00B26427"/>
    <w:rsid w:val="00B30150"/>
    <w:rsid w:val="00B315F1"/>
    <w:rsid w:val="00B37BFA"/>
    <w:rsid w:val="00B527B8"/>
    <w:rsid w:val="00B5525B"/>
    <w:rsid w:val="00B707D0"/>
    <w:rsid w:val="00B81368"/>
    <w:rsid w:val="00B81885"/>
    <w:rsid w:val="00B8613C"/>
    <w:rsid w:val="00B90ADE"/>
    <w:rsid w:val="00B939A5"/>
    <w:rsid w:val="00B95C64"/>
    <w:rsid w:val="00B969D1"/>
    <w:rsid w:val="00BA34E0"/>
    <w:rsid w:val="00BA4FF7"/>
    <w:rsid w:val="00BB0ABB"/>
    <w:rsid w:val="00BC2178"/>
    <w:rsid w:val="00BC457F"/>
    <w:rsid w:val="00BC7CD4"/>
    <w:rsid w:val="00BD634E"/>
    <w:rsid w:val="00BF1CB7"/>
    <w:rsid w:val="00C05996"/>
    <w:rsid w:val="00C060AB"/>
    <w:rsid w:val="00C10FA8"/>
    <w:rsid w:val="00C12A16"/>
    <w:rsid w:val="00C27C6B"/>
    <w:rsid w:val="00C333AC"/>
    <w:rsid w:val="00C46BA8"/>
    <w:rsid w:val="00C5354F"/>
    <w:rsid w:val="00C53687"/>
    <w:rsid w:val="00C56180"/>
    <w:rsid w:val="00C60C9C"/>
    <w:rsid w:val="00C66490"/>
    <w:rsid w:val="00C85CA9"/>
    <w:rsid w:val="00C943F9"/>
    <w:rsid w:val="00C9691F"/>
    <w:rsid w:val="00CA79EF"/>
    <w:rsid w:val="00CB4137"/>
    <w:rsid w:val="00CC339F"/>
    <w:rsid w:val="00CC4773"/>
    <w:rsid w:val="00CD25A5"/>
    <w:rsid w:val="00CD2B32"/>
    <w:rsid w:val="00CD5E47"/>
    <w:rsid w:val="00CD6BC8"/>
    <w:rsid w:val="00CE027A"/>
    <w:rsid w:val="00CE30BD"/>
    <w:rsid w:val="00CE6897"/>
    <w:rsid w:val="00D03281"/>
    <w:rsid w:val="00D13EAD"/>
    <w:rsid w:val="00D21932"/>
    <w:rsid w:val="00D23DE9"/>
    <w:rsid w:val="00D25C80"/>
    <w:rsid w:val="00D4419D"/>
    <w:rsid w:val="00D47504"/>
    <w:rsid w:val="00D50D5E"/>
    <w:rsid w:val="00D52706"/>
    <w:rsid w:val="00D57A57"/>
    <w:rsid w:val="00D65762"/>
    <w:rsid w:val="00D73729"/>
    <w:rsid w:val="00D779A0"/>
    <w:rsid w:val="00D86DB8"/>
    <w:rsid w:val="00D90386"/>
    <w:rsid w:val="00D93C84"/>
    <w:rsid w:val="00D949D5"/>
    <w:rsid w:val="00DB473E"/>
    <w:rsid w:val="00DE1278"/>
    <w:rsid w:val="00DE6C09"/>
    <w:rsid w:val="00DF3683"/>
    <w:rsid w:val="00DF4DE0"/>
    <w:rsid w:val="00E0391B"/>
    <w:rsid w:val="00E03DC8"/>
    <w:rsid w:val="00E05784"/>
    <w:rsid w:val="00E078EF"/>
    <w:rsid w:val="00E153C4"/>
    <w:rsid w:val="00E317FC"/>
    <w:rsid w:val="00E36411"/>
    <w:rsid w:val="00E40B3A"/>
    <w:rsid w:val="00E46DFD"/>
    <w:rsid w:val="00E55A9C"/>
    <w:rsid w:val="00E61FE6"/>
    <w:rsid w:val="00E70975"/>
    <w:rsid w:val="00E70A4A"/>
    <w:rsid w:val="00E7337F"/>
    <w:rsid w:val="00E746D2"/>
    <w:rsid w:val="00E819E1"/>
    <w:rsid w:val="00E84261"/>
    <w:rsid w:val="00E86B86"/>
    <w:rsid w:val="00EB1C9C"/>
    <w:rsid w:val="00EC77D3"/>
    <w:rsid w:val="00EE3B64"/>
    <w:rsid w:val="00EE3EE3"/>
    <w:rsid w:val="00F12154"/>
    <w:rsid w:val="00F139A2"/>
    <w:rsid w:val="00F15A77"/>
    <w:rsid w:val="00F30312"/>
    <w:rsid w:val="00F4059A"/>
    <w:rsid w:val="00F40E00"/>
    <w:rsid w:val="00F52641"/>
    <w:rsid w:val="00F5472D"/>
    <w:rsid w:val="00F60EDA"/>
    <w:rsid w:val="00F70214"/>
    <w:rsid w:val="00F71E3B"/>
    <w:rsid w:val="00F76111"/>
    <w:rsid w:val="00F906E3"/>
    <w:rsid w:val="00FA4A62"/>
    <w:rsid w:val="00FA735C"/>
    <w:rsid w:val="00FB4431"/>
    <w:rsid w:val="00FC011C"/>
    <w:rsid w:val="00FC17EE"/>
    <w:rsid w:val="00FC29BF"/>
    <w:rsid w:val="00FD1A71"/>
    <w:rsid w:val="00FD1CA9"/>
    <w:rsid w:val="00FD38FD"/>
    <w:rsid w:val="00FD3D8B"/>
    <w:rsid w:val="00FE240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E29E79-9AA6-4A1F-A66F-685FAAAF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eastAsia="Arial Unicode MS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paragraph" w:styleId="BodyText">
    <w:name w:val="Body Text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ISTATYMAS">
    <w:name w:val="ISTATYMAS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ubtitle">
    <w:name w:val="Subtitle"/>
    <w:basedOn w:val="Normal"/>
    <w:qFormat/>
    <w:pPr>
      <w:jc w:val="center"/>
    </w:pPr>
    <w:rPr>
      <w:b/>
      <w:bCs/>
      <w:caps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firstLine="1208"/>
      <w:jc w:val="both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rezidentas">
    <w:name w:val="Prezidentas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character" w:customStyle="1" w:styleId="HeaderChar">
    <w:name w:val="Header Char"/>
    <w:link w:val="Header"/>
    <w:uiPriority w:val="99"/>
    <w:rsid w:val="004D1E13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62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228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1622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2281"/>
    <w:rPr>
      <w:sz w:val="20"/>
      <w:szCs w:val="20"/>
    </w:rPr>
  </w:style>
  <w:style w:type="character" w:customStyle="1" w:styleId="CommentTextChar">
    <w:name w:val="Comment Text Char"/>
    <w:link w:val="CommentText"/>
    <w:rsid w:val="0016228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2281"/>
    <w:rPr>
      <w:b/>
      <w:bCs/>
    </w:rPr>
  </w:style>
  <w:style w:type="character" w:customStyle="1" w:styleId="CommentSubjectChar">
    <w:name w:val="Comment Subject Char"/>
    <w:link w:val="CommentSubject"/>
    <w:rsid w:val="00162281"/>
    <w:rPr>
      <w:b/>
      <w:bCs/>
      <w:lang w:val="en-US" w:eastAsia="en-US"/>
    </w:rPr>
  </w:style>
  <w:style w:type="table" w:styleId="TableGrid">
    <w:name w:val="Table Grid"/>
    <w:basedOn w:val="TableNormal"/>
    <w:rsid w:val="0028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040F"/>
    <w:rPr>
      <w:color w:val="808080"/>
    </w:rPr>
  </w:style>
  <w:style w:type="paragraph" w:styleId="ListParagraph">
    <w:name w:val="List Paragraph"/>
    <w:basedOn w:val="Normal"/>
    <w:uiPriority w:val="34"/>
    <w:qFormat/>
    <w:rsid w:val="00AE4A7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733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337F"/>
    <w:rPr>
      <w:lang w:val="en-US" w:eastAsia="en-US"/>
    </w:rPr>
  </w:style>
  <w:style w:type="character" w:styleId="FootnoteReference">
    <w:name w:val="footnote reference"/>
    <w:basedOn w:val="DefaultParagraphFont"/>
    <w:rsid w:val="00E7337F"/>
    <w:rPr>
      <w:vertAlign w:val="superscript"/>
    </w:rPr>
  </w:style>
  <w:style w:type="paragraph" w:styleId="EndnoteText">
    <w:name w:val="endnote text"/>
    <w:basedOn w:val="Normal"/>
    <w:link w:val="EndnoteTextChar"/>
    <w:rsid w:val="00BD63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D634E"/>
    <w:rPr>
      <w:lang w:eastAsia="en-US"/>
    </w:rPr>
  </w:style>
  <w:style w:type="character" w:styleId="EndnoteReference">
    <w:name w:val="endnote reference"/>
    <w:basedOn w:val="DefaultParagraphFont"/>
    <w:rsid w:val="00BD6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9139">
          <w:marLeft w:val="1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2501">
          <w:marLeft w:val="1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ettspielwelt.de/Other/Clever/?fbclid=IwAR2fLJogdVKFdDvT41ai4F39Eo_35TXeiNS6151iPws9IbPf8kkKUJMAfb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ardgamegeek.com/boardgame/269210/twice-clev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www.hexagon.lt/kontakta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forms/d/e/1FAIpQLSdBTMBFIJmrrhRkK5zzp6fjBGd_8AVGVdFC02YIkNI-Uil6FQ/viewform?c=0&amp;w=1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ettspielwelt.de/Other/Clever/" TargetMode="External"/><Relationship Id="rId2" Type="http://schemas.openxmlformats.org/officeDocument/2006/relationships/hyperlink" Target="https://boardgamegeek.com/boardgame/269210/twice-clever" TargetMode="External"/><Relationship Id="rId1" Type="http://schemas.openxmlformats.org/officeDocument/2006/relationships/hyperlink" Target="http://www.hexagon.lt/kontaktai/" TargetMode="External"/><Relationship Id="rId4" Type="http://schemas.openxmlformats.org/officeDocument/2006/relationships/hyperlink" Target="https://docs.google.com/forms/d/e/1FAIpQLSdBTMBFIJmrrhRkK5zzp6fjBGd_8AVGVdFC02YIkNI-Uil6FQ/closed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8552-8465-4FF5-A6B6-C9DF1E9E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2475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DOKUMENTŲ REKVIZITŲ IŠDĖSTYMO SCHEMA</vt:lpstr>
    </vt:vector>
  </TitlesOfParts>
  <Company>LAD</Company>
  <LinksUpToDate>false</LinksUpToDate>
  <CharactersWithSpaces>3879</CharactersWithSpaces>
  <SharedDoc>false</SharedDoc>
  <HLinks>
    <vt:vector size="6" baseType="variant">
      <vt:variant>
        <vt:i4>6422611</vt:i4>
      </vt:variant>
      <vt:variant>
        <vt:i4>0</vt:i4>
      </vt:variant>
      <vt:variant>
        <vt:i4>0</vt:i4>
      </vt:variant>
      <vt:variant>
        <vt:i4>5</vt:i4>
      </vt:variant>
      <vt:variant>
        <vt:lpwstr>mailto:visaziniukas@gmail.com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DOKUMENTŲ REKVIZITŲ IŠDĖSTYMO SCHEMA</dc:title>
  <dc:creator>Andriusz</dc:creator>
  <cp:lastModifiedBy>Paulius</cp:lastModifiedBy>
  <cp:revision>2</cp:revision>
  <cp:lastPrinted>2018-08-23T17:23:00Z</cp:lastPrinted>
  <dcterms:created xsi:type="dcterms:W3CDTF">2019-07-04T07:55:00Z</dcterms:created>
  <dcterms:modified xsi:type="dcterms:W3CDTF">2019-07-04T07:55:00Z</dcterms:modified>
</cp:coreProperties>
</file>